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F6C" w:rsidRPr="00B915C0" w:rsidRDefault="00DB78A3" w:rsidP="008E7959">
      <w:pPr>
        <w:spacing w:line="200" w:lineRule="auto"/>
        <w:jc w:val="center"/>
        <w:rPr>
          <w:rFonts w:ascii="Arial" w:eastAsia="Tahoma" w:hAnsi="Arial" w:cs="Arial"/>
          <w:sz w:val="72"/>
          <w:szCs w:val="72"/>
        </w:rPr>
      </w:pPr>
      <w:r>
        <w:rPr>
          <w:rFonts w:ascii="Arial" w:hAnsi="Arial" w:cs="Arial"/>
          <w:noProof/>
          <w:sz w:val="72"/>
          <w:szCs w:val="72"/>
        </w:rPr>
        <w:drawing>
          <wp:anchor distT="0" distB="0" distL="114300" distR="114300" simplePos="0" relativeHeight="251657728" behindDoc="0" locked="0" layoutInCell="1" allowOverlap="1">
            <wp:simplePos x="0" y="0"/>
            <wp:positionH relativeFrom="column">
              <wp:posOffset>0</wp:posOffset>
            </wp:positionH>
            <wp:positionV relativeFrom="paragraph">
              <wp:posOffset>-279400</wp:posOffset>
            </wp:positionV>
            <wp:extent cx="2152650" cy="819150"/>
            <wp:effectExtent l="19050" t="0" r="0" b="0"/>
            <wp:wrapSquare wrapText="bothSides"/>
            <wp:docPr id="2" name="Picture 2" descr="EVSC LOGO-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SC LOGO-transparent"/>
                    <pic:cNvPicPr>
                      <a:picLocks noChangeAspect="1" noChangeArrowheads="1"/>
                    </pic:cNvPicPr>
                  </pic:nvPicPr>
                  <pic:blipFill>
                    <a:blip r:embed="rId8" cstate="print"/>
                    <a:srcRect/>
                    <a:stretch>
                      <a:fillRect/>
                    </a:stretch>
                  </pic:blipFill>
                  <pic:spPr bwMode="auto">
                    <a:xfrm>
                      <a:off x="0" y="0"/>
                      <a:ext cx="2152650" cy="819150"/>
                    </a:xfrm>
                    <a:prstGeom prst="rect">
                      <a:avLst/>
                    </a:prstGeom>
                    <a:noFill/>
                  </pic:spPr>
                </pic:pic>
              </a:graphicData>
            </a:graphic>
          </wp:anchor>
        </w:drawing>
      </w:r>
      <w:r w:rsidR="00AB403C">
        <w:rPr>
          <w:rFonts w:ascii="Arial" w:hAnsi="Arial" w:cs="Arial"/>
          <w:noProof/>
          <w:sz w:val="72"/>
          <w:szCs w:val="72"/>
        </w:rPr>
        <w:t>News Release</w:t>
      </w:r>
    </w:p>
    <w:p w:rsidR="008E7959" w:rsidRPr="00B915C0" w:rsidRDefault="008E7959" w:rsidP="008E7959">
      <w:pPr>
        <w:spacing w:line="200" w:lineRule="auto"/>
        <w:rPr>
          <w:rFonts w:ascii="Arial" w:eastAsia="Tahoma" w:hAnsi="Arial" w:cs="Arial"/>
          <w:sz w:val="20"/>
        </w:rPr>
      </w:pPr>
    </w:p>
    <w:p w:rsidR="008E7959" w:rsidRDefault="008E7959" w:rsidP="008E7959">
      <w:pPr>
        <w:spacing w:line="200" w:lineRule="auto"/>
        <w:rPr>
          <w:rFonts w:ascii="Arial" w:eastAsia="Tahoma" w:hAnsi="Arial" w:cs="Arial"/>
          <w:sz w:val="20"/>
        </w:rPr>
      </w:pPr>
      <w:r>
        <w:rPr>
          <w:rFonts w:ascii="Arial" w:eastAsia="Tahoma" w:hAnsi="Arial" w:cs="Arial"/>
          <w:sz w:val="20"/>
        </w:rPr>
        <w:t>_______________________________________________________________________________________</w:t>
      </w:r>
    </w:p>
    <w:p w:rsidR="008E7959" w:rsidRDefault="008E7959" w:rsidP="008E7959">
      <w:pPr>
        <w:spacing w:line="200" w:lineRule="auto"/>
        <w:rPr>
          <w:rFonts w:ascii="Arial" w:eastAsia="Tahoma" w:hAnsi="Arial" w:cs="Arial"/>
          <w:sz w:val="18"/>
          <w:szCs w:val="18"/>
        </w:rPr>
      </w:pPr>
    </w:p>
    <w:p w:rsidR="00E45F6C" w:rsidRPr="00E45F6C" w:rsidRDefault="00D143B2">
      <w:pPr>
        <w:spacing w:line="240" w:lineRule="atLeast"/>
        <w:rPr>
          <w:rFonts w:ascii="Arial" w:eastAsia="Tahoma" w:hAnsi="Arial" w:cs="Arial"/>
          <w:i/>
          <w:sz w:val="18"/>
          <w:szCs w:val="18"/>
          <w:u w:val="single"/>
        </w:rPr>
      </w:pPr>
      <w:r>
        <w:rPr>
          <w:rFonts w:ascii="Arial" w:eastAsia="Tahoma" w:hAnsi="Arial" w:cs="Arial"/>
          <w:i/>
          <w:sz w:val="18"/>
          <w:szCs w:val="18"/>
          <w:u w:val="single"/>
        </w:rPr>
        <w:t>For M</w:t>
      </w:r>
      <w:r w:rsidR="00E45F6C" w:rsidRPr="00E45F6C">
        <w:rPr>
          <w:rFonts w:ascii="Arial" w:eastAsia="Tahoma" w:hAnsi="Arial" w:cs="Arial"/>
          <w:i/>
          <w:sz w:val="18"/>
          <w:szCs w:val="18"/>
          <w:u w:val="single"/>
        </w:rPr>
        <w:t>ore Information Contact:</w:t>
      </w:r>
    </w:p>
    <w:p w:rsidR="00E45F6C" w:rsidRDefault="00E45F6C">
      <w:pPr>
        <w:spacing w:line="240" w:lineRule="atLeast"/>
        <w:rPr>
          <w:rFonts w:ascii="Arial" w:eastAsia="Tahoma" w:hAnsi="Arial" w:cs="Arial"/>
          <w:sz w:val="18"/>
          <w:szCs w:val="18"/>
        </w:rPr>
      </w:pPr>
      <w:r w:rsidRPr="00E45F6C">
        <w:rPr>
          <w:rFonts w:ascii="Arial" w:eastAsia="Tahoma" w:hAnsi="Arial" w:cs="Arial"/>
          <w:sz w:val="18"/>
          <w:szCs w:val="18"/>
        </w:rPr>
        <w:t>Marsha Jackson</w:t>
      </w:r>
      <w:r>
        <w:rPr>
          <w:rFonts w:ascii="Arial" w:eastAsia="Tahoma" w:hAnsi="Arial" w:cs="Arial"/>
          <w:sz w:val="18"/>
          <w:szCs w:val="18"/>
        </w:rPr>
        <w:t xml:space="preserve">, EVSC </w:t>
      </w:r>
      <w:r w:rsidR="00046A0C">
        <w:rPr>
          <w:rFonts w:ascii="Arial" w:eastAsia="Tahoma" w:hAnsi="Arial" w:cs="Arial"/>
          <w:sz w:val="18"/>
          <w:szCs w:val="18"/>
        </w:rPr>
        <w:t>Chief Communication Officer</w:t>
      </w:r>
      <w:r w:rsidRPr="00E45F6C">
        <w:rPr>
          <w:rFonts w:ascii="Arial" w:eastAsia="Tahoma" w:hAnsi="Arial" w:cs="Arial"/>
          <w:sz w:val="18"/>
          <w:szCs w:val="18"/>
        </w:rPr>
        <w:br/>
        <w:t>812-435-0206</w:t>
      </w:r>
      <w:r w:rsidRPr="00E45F6C">
        <w:rPr>
          <w:rFonts w:ascii="Arial" w:eastAsia="Tahoma" w:hAnsi="Arial" w:cs="Arial"/>
          <w:sz w:val="18"/>
          <w:szCs w:val="18"/>
        </w:rPr>
        <w:br/>
        <w:t xml:space="preserve">email: </w:t>
      </w:r>
      <w:hyperlink r:id="rId9" w:history="1">
        <w:r w:rsidR="006E1059" w:rsidRPr="00637130">
          <w:rPr>
            <w:rStyle w:val="Hyperlink"/>
            <w:rFonts w:ascii="Arial" w:eastAsia="Tahoma" w:hAnsi="Arial" w:cs="Arial"/>
            <w:sz w:val="18"/>
            <w:szCs w:val="18"/>
          </w:rPr>
          <w:t>marsha.jackson@evsc.k12.in.us</w:t>
        </w:r>
      </w:hyperlink>
    </w:p>
    <w:p w:rsidR="006E1059" w:rsidRDefault="006E1059">
      <w:pPr>
        <w:spacing w:line="240" w:lineRule="atLeast"/>
        <w:rPr>
          <w:rFonts w:ascii="Arial" w:eastAsia="Tahoma" w:hAnsi="Arial" w:cs="Arial"/>
          <w:sz w:val="18"/>
          <w:szCs w:val="18"/>
        </w:rPr>
      </w:pPr>
    </w:p>
    <w:p w:rsidR="006E1059" w:rsidRDefault="006E1059">
      <w:pPr>
        <w:spacing w:line="240" w:lineRule="atLeast"/>
        <w:rPr>
          <w:rFonts w:ascii="Arial" w:eastAsia="Tahoma" w:hAnsi="Arial" w:cs="Arial"/>
          <w:sz w:val="18"/>
          <w:szCs w:val="18"/>
        </w:rPr>
      </w:pPr>
    </w:p>
    <w:p w:rsidR="006E1059" w:rsidRPr="00106F5E" w:rsidRDefault="006E1059" w:rsidP="006E1059">
      <w:pPr>
        <w:rPr>
          <w:rFonts w:ascii="Arial" w:hAnsi="Arial" w:cs="Arial"/>
          <w:sz w:val="18"/>
          <w:szCs w:val="18"/>
        </w:rPr>
      </w:pPr>
      <w:r w:rsidRPr="00106F5E">
        <w:rPr>
          <w:rFonts w:ascii="Arial" w:hAnsi="Arial" w:cs="Arial"/>
          <w:sz w:val="18"/>
          <w:szCs w:val="18"/>
        </w:rPr>
        <w:t xml:space="preserve">Sara DeWitt, EVSC Communications Specialist </w:t>
      </w:r>
      <w:r w:rsidRPr="00106F5E">
        <w:rPr>
          <w:rFonts w:ascii="Arial" w:hAnsi="Arial" w:cs="Arial"/>
          <w:sz w:val="18"/>
          <w:szCs w:val="18"/>
        </w:rPr>
        <w:br/>
        <w:t>(812) 435-0207</w:t>
      </w:r>
    </w:p>
    <w:p w:rsidR="006E1059" w:rsidRDefault="006E1059" w:rsidP="006E1059">
      <w:pPr>
        <w:rPr>
          <w:rFonts w:ascii="Arial" w:hAnsi="Arial" w:cs="Arial"/>
          <w:sz w:val="18"/>
          <w:szCs w:val="18"/>
        </w:rPr>
      </w:pPr>
      <w:r w:rsidRPr="00106F5E">
        <w:rPr>
          <w:rFonts w:ascii="Arial" w:hAnsi="Arial" w:cs="Arial"/>
          <w:sz w:val="18"/>
          <w:szCs w:val="18"/>
        </w:rPr>
        <w:t xml:space="preserve">email: </w:t>
      </w:r>
      <w:hyperlink r:id="rId10" w:history="1">
        <w:r w:rsidRPr="00106F5E">
          <w:rPr>
            <w:rStyle w:val="Hyperlink"/>
            <w:rFonts w:ascii="Arial" w:hAnsi="Arial" w:cs="Arial"/>
            <w:sz w:val="18"/>
            <w:szCs w:val="18"/>
          </w:rPr>
          <w:t>sara.dewitt@evsc.k12.in.us</w:t>
        </w:r>
      </w:hyperlink>
    </w:p>
    <w:p w:rsidR="00B30116" w:rsidRDefault="00B30116" w:rsidP="00B30116">
      <w:pPr>
        <w:rPr>
          <w:rFonts w:ascii="Arial" w:hAnsi="Arial" w:cs="Arial"/>
          <w:sz w:val="18"/>
          <w:szCs w:val="18"/>
        </w:rPr>
      </w:pPr>
    </w:p>
    <w:p w:rsidR="00475BDF" w:rsidRDefault="00475BDF" w:rsidP="00475BDF">
      <w:r>
        <w:t>FOR IMMEDIATE RELEASE</w:t>
      </w:r>
      <w:r>
        <w:br/>
        <w:t>August 22, 2011</w:t>
      </w:r>
    </w:p>
    <w:p w:rsidR="00475BDF" w:rsidRDefault="00475BDF" w:rsidP="00475BDF"/>
    <w:p w:rsidR="00475BDF" w:rsidRPr="00475BDF" w:rsidRDefault="00475BDF" w:rsidP="00475BDF">
      <w:pPr>
        <w:jc w:val="center"/>
        <w:rPr>
          <w:b/>
          <w:sz w:val="20"/>
        </w:rPr>
      </w:pPr>
      <w:r w:rsidRPr="00475BDF">
        <w:rPr>
          <w:b/>
          <w:sz w:val="20"/>
        </w:rPr>
        <w:t xml:space="preserve">EVSC Presents 2011-12 </w:t>
      </w:r>
      <w:proofErr w:type="gramStart"/>
      <w:r w:rsidRPr="00475BDF">
        <w:rPr>
          <w:b/>
          <w:sz w:val="20"/>
        </w:rPr>
        <w:t>Budget</w:t>
      </w:r>
      <w:proofErr w:type="gramEnd"/>
      <w:r w:rsidRPr="00475BDF">
        <w:rPr>
          <w:b/>
          <w:sz w:val="20"/>
        </w:rPr>
        <w:t xml:space="preserve"> to Board of School Trustees</w:t>
      </w:r>
      <w:r w:rsidRPr="00475BDF">
        <w:rPr>
          <w:b/>
          <w:sz w:val="20"/>
        </w:rPr>
        <w:br/>
      </w:r>
    </w:p>
    <w:p w:rsidR="00475BDF" w:rsidRPr="00475BDF" w:rsidRDefault="00475BDF" w:rsidP="00475BDF">
      <w:pPr>
        <w:spacing w:line="360" w:lineRule="auto"/>
        <w:rPr>
          <w:sz w:val="20"/>
        </w:rPr>
      </w:pPr>
      <w:r w:rsidRPr="00475BDF">
        <w:rPr>
          <w:sz w:val="20"/>
        </w:rPr>
        <w:tab/>
        <w:t xml:space="preserve">The Evansville Vanderburgh School Corporation Board of School Trustees tonight (Aug. 22) listened to a presentation of the budget and approved its advertisement for 2011-12. The budget reflected state funding of $5,457 per student, a drop of nearly $300 over last year’s figure from the state. The EVSC cut $6.5 million in projected expenditures in order to present a balanced budget. Total budget presented, reflecting all funds including those supported through local property taxes, is $209,497,499. </w:t>
      </w:r>
    </w:p>
    <w:p w:rsidR="00475BDF" w:rsidRPr="00475BDF" w:rsidRDefault="00475BDF" w:rsidP="00475BDF">
      <w:pPr>
        <w:spacing w:line="360" w:lineRule="auto"/>
        <w:ind w:firstLine="720"/>
        <w:rPr>
          <w:sz w:val="20"/>
        </w:rPr>
      </w:pPr>
      <w:r w:rsidRPr="00475BDF">
        <w:rPr>
          <w:sz w:val="20"/>
        </w:rPr>
        <w:t xml:space="preserve">Increases in this new budget include a 13.9 percent increase in health insurance expenditures projected; $2.3 million in a one-time, additional employee retirement accounts payment due to new state protocol; and $2.6 million in positions originally paid with stimulus funds. </w:t>
      </w:r>
    </w:p>
    <w:p w:rsidR="00475BDF" w:rsidRPr="00475BDF" w:rsidRDefault="00475BDF" w:rsidP="00475BDF">
      <w:pPr>
        <w:spacing w:line="360" w:lineRule="auto"/>
        <w:ind w:firstLine="720"/>
        <w:rPr>
          <w:sz w:val="20"/>
        </w:rPr>
      </w:pPr>
      <w:r w:rsidRPr="00475BDF">
        <w:rPr>
          <w:sz w:val="20"/>
        </w:rPr>
        <w:t>Reductions by the EVSC in order to present a balanced budget were found in many areas including $400,000 in supplies and equipment, $2.5 million from not filling all open positions, reduction of staff positions in the move to the new administration building; $1.2 million in re-evaluating new hires to the corporation and the projected expenditures;  and a $536,000 reduction over the next four years in life insurance costs;  as well as other smaller efficiencies – for a total of $5.57 million in general fund reductions and an additional $385,594 reduction in all other funds. No reductions are projected in any core areas affecting student success.</w:t>
      </w:r>
    </w:p>
    <w:p w:rsidR="00475BDF" w:rsidRPr="00475BDF" w:rsidRDefault="00475BDF" w:rsidP="00475BDF">
      <w:pPr>
        <w:tabs>
          <w:tab w:val="right" w:leader="dot" w:pos="7920"/>
          <w:tab w:val="right" w:pos="10800"/>
        </w:tabs>
        <w:spacing w:after="120"/>
        <w:jc w:val="center"/>
        <w:rPr>
          <w:b/>
          <w:sz w:val="20"/>
        </w:rPr>
      </w:pPr>
      <w:r w:rsidRPr="00475BDF">
        <w:rPr>
          <w:b/>
          <w:sz w:val="20"/>
        </w:rPr>
        <w:t xml:space="preserve">2011-12 </w:t>
      </w:r>
      <w:proofErr w:type="gramStart"/>
      <w:r w:rsidRPr="00475BDF">
        <w:rPr>
          <w:b/>
          <w:sz w:val="20"/>
        </w:rPr>
        <w:t>Summary</w:t>
      </w:r>
      <w:proofErr w:type="gramEnd"/>
      <w:r w:rsidRPr="00475BDF">
        <w:rPr>
          <w:b/>
          <w:sz w:val="20"/>
        </w:rPr>
        <w:t xml:space="preserve"> By Fund</w:t>
      </w:r>
    </w:p>
    <w:p w:rsidR="00475BDF" w:rsidRPr="00475BDF" w:rsidRDefault="00475BDF" w:rsidP="00475BDF">
      <w:pPr>
        <w:tabs>
          <w:tab w:val="right" w:leader="dot" w:pos="7920"/>
          <w:tab w:val="right" w:pos="10800"/>
        </w:tabs>
        <w:spacing w:after="120"/>
        <w:jc w:val="center"/>
        <w:rPr>
          <w:b/>
          <w:sz w:val="20"/>
        </w:rPr>
      </w:pPr>
      <w:r w:rsidRPr="00475BDF">
        <w:rPr>
          <w:b/>
          <w:sz w:val="20"/>
        </w:rPr>
        <w:t>(Budget Supported by Local Property Taxes)</w:t>
      </w:r>
    </w:p>
    <w:p w:rsidR="00475BDF" w:rsidRPr="00475BDF" w:rsidRDefault="00475BDF" w:rsidP="00475BDF">
      <w:pPr>
        <w:tabs>
          <w:tab w:val="right" w:leader="dot" w:pos="7920"/>
          <w:tab w:val="right" w:pos="10800"/>
        </w:tabs>
        <w:spacing w:after="120"/>
        <w:rPr>
          <w:sz w:val="20"/>
        </w:rPr>
      </w:pPr>
      <w:r w:rsidRPr="00475BDF">
        <w:rPr>
          <w:sz w:val="20"/>
        </w:rPr>
        <w:t>General Fund/Special Education Pre-School</w:t>
      </w:r>
      <w:r w:rsidRPr="00475BDF">
        <w:rPr>
          <w:sz w:val="20"/>
        </w:rPr>
        <w:tab/>
        <w:t>$153,255,297</w:t>
      </w:r>
    </w:p>
    <w:p w:rsidR="00475BDF" w:rsidRPr="00475BDF" w:rsidRDefault="00475BDF" w:rsidP="00475BDF">
      <w:pPr>
        <w:tabs>
          <w:tab w:val="right" w:leader="dot" w:pos="7920"/>
          <w:tab w:val="right" w:pos="10800"/>
        </w:tabs>
        <w:spacing w:after="120"/>
        <w:rPr>
          <w:sz w:val="20"/>
        </w:rPr>
      </w:pPr>
      <w:r w:rsidRPr="00475BDF">
        <w:rPr>
          <w:sz w:val="20"/>
        </w:rPr>
        <w:t>Capital Projects Fund</w:t>
      </w:r>
      <w:r w:rsidRPr="00475BDF">
        <w:rPr>
          <w:sz w:val="20"/>
        </w:rPr>
        <w:tab/>
        <w:t>23,938,356</w:t>
      </w:r>
    </w:p>
    <w:p w:rsidR="00475BDF" w:rsidRPr="00475BDF" w:rsidRDefault="00475BDF" w:rsidP="00475BDF">
      <w:pPr>
        <w:tabs>
          <w:tab w:val="right" w:leader="dot" w:pos="7920"/>
          <w:tab w:val="right" w:pos="10800"/>
        </w:tabs>
        <w:spacing w:after="120"/>
        <w:rPr>
          <w:sz w:val="20"/>
        </w:rPr>
      </w:pPr>
      <w:r w:rsidRPr="00475BDF">
        <w:rPr>
          <w:sz w:val="20"/>
        </w:rPr>
        <w:t>Bus Transportation</w:t>
      </w:r>
      <w:r w:rsidRPr="00475BDF">
        <w:rPr>
          <w:sz w:val="20"/>
        </w:rPr>
        <w:tab/>
        <w:t>14,913,940</w:t>
      </w:r>
    </w:p>
    <w:p w:rsidR="00475BDF" w:rsidRPr="00475BDF" w:rsidRDefault="00475BDF" w:rsidP="00475BDF">
      <w:pPr>
        <w:tabs>
          <w:tab w:val="right" w:leader="dot" w:pos="7920"/>
          <w:tab w:val="right" w:pos="10800"/>
        </w:tabs>
        <w:spacing w:after="120"/>
        <w:rPr>
          <w:sz w:val="20"/>
        </w:rPr>
      </w:pPr>
      <w:r w:rsidRPr="00475BDF">
        <w:rPr>
          <w:sz w:val="20"/>
        </w:rPr>
        <w:t>Bus Replacement Fund/Pension Debt Fund</w:t>
      </w:r>
      <w:r w:rsidRPr="00475BDF">
        <w:rPr>
          <w:sz w:val="20"/>
        </w:rPr>
        <w:tab/>
        <w:t>2,924,360</w:t>
      </w:r>
    </w:p>
    <w:p w:rsidR="00475BDF" w:rsidRPr="00475BDF" w:rsidRDefault="00475BDF" w:rsidP="00475BDF">
      <w:pPr>
        <w:tabs>
          <w:tab w:val="right" w:leader="dot" w:pos="7920"/>
          <w:tab w:val="right" w:pos="10800"/>
        </w:tabs>
        <w:spacing w:after="120"/>
        <w:rPr>
          <w:sz w:val="20"/>
        </w:rPr>
      </w:pPr>
      <w:r w:rsidRPr="00475BDF">
        <w:rPr>
          <w:sz w:val="20"/>
        </w:rPr>
        <w:t>Debt Service – Regular and Exempt</w:t>
      </w:r>
      <w:r w:rsidRPr="00475BDF">
        <w:rPr>
          <w:sz w:val="20"/>
        </w:rPr>
        <w:tab/>
        <w:t>8,841,023</w:t>
      </w:r>
    </w:p>
    <w:p w:rsidR="00475BDF" w:rsidRPr="00475BDF" w:rsidRDefault="00475BDF" w:rsidP="00475BDF">
      <w:pPr>
        <w:tabs>
          <w:tab w:val="right" w:leader="dot" w:pos="7920"/>
          <w:tab w:val="right" w:pos="10800"/>
        </w:tabs>
        <w:spacing w:after="120"/>
        <w:rPr>
          <w:sz w:val="20"/>
        </w:rPr>
      </w:pPr>
      <w:r w:rsidRPr="00475BDF">
        <w:rPr>
          <w:sz w:val="20"/>
        </w:rPr>
        <w:t>Debt Service – Pension</w:t>
      </w:r>
      <w:r w:rsidRPr="00475BDF">
        <w:rPr>
          <w:sz w:val="20"/>
        </w:rPr>
        <w:tab/>
        <w:t>5,249,523</w:t>
      </w:r>
    </w:p>
    <w:p w:rsidR="00475BDF" w:rsidRPr="00475BDF" w:rsidRDefault="00475BDF" w:rsidP="00475BDF">
      <w:pPr>
        <w:tabs>
          <w:tab w:val="right" w:leader="dot" w:pos="7920"/>
          <w:tab w:val="right" w:pos="10800"/>
        </w:tabs>
        <w:spacing w:after="120"/>
        <w:rPr>
          <w:sz w:val="20"/>
          <w:u w:val="single"/>
        </w:rPr>
      </w:pPr>
      <w:r w:rsidRPr="00475BDF">
        <w:rPr>
          <w:sz w:val="20"/>
        </w:rPr>
        <w:t>Art Institute Fund</w:t>
      </w:r>
      <w:r w:rsidRPr="00475BDF">
        <w:rPr>
          <w:sz w:val="20"/>
        </w:rPr>
        <w:tab/>
      </w:r>
      <w:r w:rsidRPr="00475BDF">
        <w:rPr>
          <w:sz w:val="20"/>
          <w:u w:val="single"/>
        </w:rPr>
        <w:t>375,000</w:t>
      </w:r>
    </w:p>
    <w:p w:rsidR="00475BDF" w:rsidRPr="00475BDF" w:rsidRDefault="00475BDF" w:rsidP="00475BDF">
      <w:pPr>
        <w:tabs>
          <w:tab w:val="right" w:leader="dot" w:pos="7920"/>
          <w:tab w:val="right" w:pos="10800"/>
        </w:tabs>
        <w:rPr>
          <w:sz w:val="20"/>
        </w:rPr>
      </w:pPr>
      <w:r w:rsidRPr="00475BDF">
        <w:rPr>
          <w:sz w:val="20"/>
        </w:rPr>
        <w:t>Total</w:t>
      </w:r>
      <w:r w:rsidRPr="00475BDF">
        <w:rPr>
          <w:sz w:val="20"/>
        </w:rPr>
        <w:tab/>
        <w:t>$209,497,499</w:t>
      </w:r>
    </w:p>
    <w:p w:rsidR="00475BDF" w:rsidRPr="00475BDF" w:rsidRDefault="00475BDF" w:rsidP="00475BDF">
      <w:pPr>
        <w:tabs>
          <w:tab w:val="right" w:leader="dot" w:pos="7920"/>
          <w:tab w:val="right" w:pos="10800"/>
        </w:tabs>
        <w:rPr>
          <w:sz w:val="20"/>
        </w:rPr>
      </w:pPr>
      <w:r w:rsidRPr="00475BDF">
        <w:rPr>
          <w:sz w:val="20"/>
        </w:rPr>
        <w:t xml:space="preserve">                                                          </w:t>
      </w:r>
    </w:p>
    <w:p w:rsidR="00475BDF" w:rsidRPr="00475BDF" w:rsidRDefault="00475BDF" w:rsidP="00475BDF">
      <w:pPr>
        <w:tabs>
          <w:tab w:val="right" w:leader="dot" w:pos="7920"/>
          <w:tab w:val="right" w:pos="10800"/>
        </w:tabs>
        <w:rPr>
          <w:sz w:val="20"/>
        </w:rPr>
      </w:pPr>
    </w:p>
    <w:p w:rsidR="00475BDF" w:rsidRPr="00475BDF" w:rsidRDefault="00475BDF" w:rsidP="00475BDF">
      <w:pPr>
        <w:tabs>
          <w:tab w:val="left" w:pos="720"/>
          <w:tab w:val="right" w:pos="7920"/>
          <w:tab w:val="right" w:pos="10800"/>
        </w:tabs>
        <w:spacing w:line="360" w:lineRule="auto"/>
        <w:rPr>
          <w:sz w:val="20"/>
        </w:rPr>
      </w:pPr>
      <w:r w:rsidRPr="00475BDF">
        <w:rPr>
          <w:sz w:val="20"/>
        </w:rPr>
        <w:tab/>
        <w:t>Property tax supported funds include: Capital Projects, Transportation Operating, Bus Replacement, Debt Service, Exempt Debt Service, Pension Fund, and Art Institute.</w:t>
      </w:r>
    </w:p>
    <w:p w:rsidR="00475BDF" w:rsidRPr="00475BDF" w:rsidRDefault="00475BDF" w:rsidP="00475BDF">
      <w:pPr>
        <w:tabs>
          <w:tab w:val="left" w:pos="720"/>
          <w:tab w:val="right" w:pos="7920"/>
          <w:tab w:val="right" w:pos="10800"/>
        </w:tabs>
        <w:spacing w:line="360" w:lineRule="auto"/>
        <w:rPr>
          <w:sz w:val="20"/>
        </w:rPr>
      </w:pPr>
      <w:r w:rsidRPr="00475BDF">
        <w:rPr>
          <w:sz w:val="20"/>
        </w:rPr>
        <w:t>General Fund revenue total is $136,726,033 from the basic grant, with an additional $16,529,264 in miscellaneous state and local funds, totaling $153,255,297.</w:t>
      </w:r>
    </w:p>
    <w:p w:rsidR="00475BDF" w:rsidRPr="00475BDF" w:rsidRDefault="00475BDF" w:rsidP="00475BDF">
      <w:pPr>
        <w:tabs>
          <w:tab w:val="left" w:pos="720"/>
          <w:tab w:val="right" w:pos="7920"/>
          <w:tab w:val="right" w:pos="10800"/>
        </w:tabs>
        <w:spacing w:line="360" w:lineRule="auto"/>
        <w:rPr>
          <w:sz w:val="20"/>
        </w:rPr>
      </w:pPr>
    </w:p>
    <w:p w:rsidR="00475BDF" w:rsidRPr="00475BDF" w:rsidRDefault="00475BDF" w:rsidP="00475BDF">
      <w:pPr>
        <w:tabs>
          <w:tab w:val="left" w:pos="720"/>
          <w:tab w:val="right" w:pos="7920"/>
          <w:tab w:val="right" w:pos="10800"/>
        </w:tabs>
        <w:spacing w:line="360" w:lineRule="auto"/>
        <w:jc w:val="center"/>
        <w:rPr>
          <w:b/>
          <w:sz w:val="20"/>
        </w:rPr>
      </w:pPr>
      <w:r w:rsidRPr="00475BDF">
        <w:rPr>
          <w:b/>
          <w:sz w:val="20"/>
        </w:rPr>
        <w:t>General Fund Expenditures – Category Percentages</w:t>
      </w:r>
    </w:p>
    <w:tbl>
      <w:tblPr>
        <w:tblStyle w:val="TableGrid"/>
        <w:tblW w:w="0" w:type="auto"/>
        <w:tblLook w:val="04A0"/>
      </w:tblPr>
      <w:tblGrid>
        <w:gridCol w:w="2394"/>
        <w:gridCol w:w="2394"/>
        <w:gridCol w:w="2394"/>
        <w:gridCol w:w="2394"/>
      </w:tblGrid>
      <w:tr w:rsidR="00475BDF" w:rsidRPr="00475BDF" w:rsidTr="00403FC8">
        <w:tc>
          <w:tcPr>
            <w:tcW w:w="2394" w:type="dxa"/>
          </w:tcPr>
          <w:p w:rsidR="00475BDF" w:rsidRPr="00475BDF" w:rsidRDefault="00475BDF" w:rsidP="00403FC8">
            <w:pPr>
              <w:tabs>
                <w:tab w:val="right" w:leader="dot" w:pos="7920"/>
                <w:tab w:val="right" w:pos="10800"/>
              </w:tabs>
              <w:rPr>
                <w:sz w:val="20"/>
                <w:szCs w:val="20"/>
              </w:rPr>
            </w:pPr>
          </w:p>
        </w:tc>
        <w:tc>
          <w:tcPr>
            <w:tcW w:w="2394" w:type="dxa"/>
          </w:tcPr>
          <w:p w:rsidR="00475BDF" w:rsidRPr="00475BDF" w:rsidRDefault="00475BDF" w:rsidP="00403FC8">
            <w:pPr>
              <w:tabs>
                <w:tab w:val="right" w:leader="dot" w:pos="7920"/>
                <w:tab w:val="right" w:pos="10800"/>
              </w:tabs>
              <w:rPr>
                <w:sz w:val="20"/>
                <w:szCs w:val="20"/>
                <w:u w:val="single"/>
              </w:rPr>
            </w:pPr>
            <w:r w:rsidRPr="00475BDF">
              <w:rPr>
                <w:sz w:val="20"/>
                <w:szCs w:val="20"/>
                <w:u w:val="single"/>
              </w:rPr>
              <w:t>2010 Budget</w:t>
            </w:r>
          </w:p>
        </w:tc>
        <w:tc>
          <w:tcPr>
            <w:tcW w:w="2394" w:type="dxa"/>
          </w:tcPr>
          <w:p w:rsidR="00475BDF" w:rsidRPr="00475BDF" w:rsidRDefault="00475BDF" w:rsidP="00403FC8">
            <w:pPr>
              <w:tabs>
                <w:tab w:val="right" w:leader="dot" w:pos="7920"/>
                <w:tab w:val="right" w:pos="10800"/>
              </w:tabs>
              <w:rPr>
                <w:sz w:val="20"/>
                <w:szCs w:val="20"/>
                <w:u w:val="single"/>
              </w:rPr>
            </w:pPr>
            <w:r w:rsidRPr="00475BDF">
              <w:rPr>
                <w:sz w:val="20"/>
                <w:szCs w:val="20"/>
                <w:u w:val="single"/>
              </w:rPr>
              <w:t>2011 Budget</w:t>
            </w:r>
          </w:p>
        </w:tc>
        <w:tc>
          <w:tcPr>
            <w:tcW w:w="2394" w:type="dxa"/>
          </w:tcPr>
          <w:p w:rsidR="00475BDF" w:rsidRPr="00475BDF" w:rsidRDefault="00475BDF" w:rsidP="00403FC8">
            <w:pPr>
              <w:tabs>
                <w:tab w:val="right" w:leader="dot" w:pos="7920"/>
                <w:tab w:val="right" w:pos="10800"/>
              </w:tabs>
              <w:rPr>
                <w:sz w:val="20"/>
                <w:szCs w:val="20"/>
                <w:u w:val="single"/>
              </w:rPr>
            </w:pPr>
            <w:r w:rsidRPr="00475BDF">
              <w:rPr>
                <w:sz w:val="20"/>
                <w:szCs w:val="20"/>
                <w:u w:val="single"/>
              </w:rPr>
              <w:t>2012 Budget</w:t>
            </w:r>
          </w:p>
        </w:tc>
      </w:tr>
      <w:tr w:rsidR="00475BDF" w:rsidRPr="00475BDF" w:rsidTr="00403FC8">
        <w:tc>
          <w:tcPr>
            <w:tcW w:w="2394" w:type="dxa"/>
          </w:tcPr>
          <w:p w:rsidR="00475BDF" w:rsidRPr="00475BDF" w:rsidRDefault="00475BDF" w:rsidP="00403FC8">
            <w:pPr>
              <w:tabs>
                <w:tab w:val="right" w:leader="dot" w:pos="7920"/>
                <w:tab w:val="right" w:pos="10800"/>
              </w:tabs>
              <w:rPr>
                <w:sz w:val="20"/>
                <w:szCs w:val="20"/>
              </w:rPr>
            </w:pPr>
            <w:r w:rsidRPr="00475BDF">
              <w:rPr>
                <w:sz w:val="20"/>
                <w:szCs w:val="20"/>
              </w:rPr>
              <w:t>Academic Achievement</w:t>
            </w:r>
          </w:p>
        </w:tc>
        <w:tc>
          <w:tcPr>
            <w:tcW w:w="2394" w:type="dxa"/>
          </w:tcPr>
          <w:p w:rsidR="00475BDF" w:rsidRPr="00475BDF" w:rsidRDefault="00475BDF" w:rsidP="00403FC8">
            <w:pPr>
              <w:tabs>
                <w:tab w:val="right" w:leader="dot" w:pos="7920"/>
                <w:tab w:val="right" w:pos="10800"/>
              </w:tabs>
              <w:rPr>
                <w:sz w:val="20"/>
                <w:szCs w:val="20"/>
              </w:rPr>
            </w:pPr>
            <w:r w:rsidRPr="00475BDF">
              <w:rPr>
                <w:sz w:val="20"/>
                <w:szCs w:val="20"/>
              </w:rPr>
              <w:t>73.95%</w:t>
            </w:r>
          </w:p>
        </w:tc>
        <w:tc>
          <w:tcPr>
            <w:tcW w:w="2394" w:type="dxa"/>
          </w:tcPr>
          <w:p w:rsidR="00475BDF" w:rsidRPr="00475BDF" w:rsidRDefault="00475BDF" w:rsidP="00403FC8">
            <w:pPr>
              <w:tabs>
                <w:tab w:val="right" w:leader="dot" w:pos="7920"/>
                <w:tab w:val="right" w:pos="10800"/>
              </w:tabs>
              <w:rPr>
                <w:sz w:val="20"/>
                <w:szCs w:val="20"/>
              </w:rPr>
            </w:pPr>
            <w:r w:rsidRPr="00475BDF">
              <w:rPr>
                <w:sz w:val="20"/>
                <w:szCs w:val="20"/>
              </w:rPr>
              <w:t>75.65%</w:t>
            </w:r>
          </w:p>
        </w:tc>
        <w:tc>
          <w:tcPr>
            <w:tcW w:w="2394" w:type="dxa"/>
          </w:tcPr>
          <w:p w:rsidR="00475BDF" w:rsidRPr="00475BDF" w:rsidRDefault="00475BDF" w:rsidP="00403FC8">
            <w:pPr>
              <w:tabs>
                <w:tab w:val="right" w:leader="dot" w:pos="7920"/>
                <w:tab w:val="right" w:pos="10800"/>
              </w:tabs>
              <w:rPr>
                <w:sz w:val="20"/>
                <w:szCs w:val="20"/>
              </w:rPr>
            </w:pPr>
            <w:r w:rsidRPr="00475BDF">
              <w:rPr>
                <w:sz w:val="20"/>
                <w:szCs w:val="20"/>
              </w:rPr>
              <w:t>75.67%</w:t>
            </w:r>
          </w:p>
        </w:tc>
      </w:tr>
      <w:tr w:rsidR="00475BDF" w:rsidRPr="00475BDF" w:rsidTr="00403FC8">
        <w:tc>
          <w:tcPr>
            <w:tcW w:w="2394" w:type="dxa"/>
          </w:tcPr>
          <w:p w:rsidR="00475BDF" w:rsidRPr="00475BDF" w:rsidRDefault="00475BDF" w:rsidP="00403FC8">
            <w:pPr>
              <w:tabs>
                <w:tab w:val="right" w:leader="dot" w:pos="7920"/>
                <w:tab w:val="right" w:pos="10800"/>
              </w:tabs>
              <w:rPr>
                <w:sz w:val="20"/>
                <w:szCs w:val="20"/>
              </w:rPr>
            </w:pPr>
            <w:r w:rsidRPr="00475BDF">
              <w:rPr>
                <w:sz w:val="20"/>
                <w:szCs w:val="20"/>
              </w:rPr>
              <w:t>Instructional Support (Subtotal – Instruction)</w:t>
            </w:r>
          </w:p>
        </w:tc>
        <w:tc>
          <w:tcPr>
            <w:tcW w:w="2394" w:type="dxa"/>
          </w:tcPr>
          <w:p w:rsidR="00475BDF" w:rsidRPr="00475BDF" w:rsidRDefault="00475BDF" w:rsidP="00403FC8">
            <w:pPr>
              <w:tabs>
                <w:tab w:val="right" w:leader="dot" w:pos="7920"/>
                <w:tab w:val="right" w:pos="10800"/>
              </w:tabs>
              <w:rPr>
                <w:sz w:val="20"/>
                <w:szCs w:val="20"/>
              </w:rPr>
            </w:pPr>
            <w:r w:rsidRPr="00475BDF">
              <w:rPr>
                <w:sz w:val="20"/>
                <w:szCs w:val="20"/>
              </w:rPr>
              <w:t>4.67%</w:t>
            </w:r>
          </w:p>
          <w:p w:rsidR="00475BDF" w:rsidRPr="00475BDF" w:rsidRDefault="00475BDF" w:rsidP="00403FC8">
            <w:pPr>
              <w:tabs>
                <w:tab w:val="right" w:leader="dot" w:pos="7920"/>
                <w:tab w:val="right" w:pos="10800"/>
              </w:tabs>
              <w:rPr>
                <w:sz w:val="20"/>
                <w:szCs w:val="20"/>
              </w:rPr>
            </w:pPr>
            <w:r w:rsidRPr="00475BDF">
              <w:rPr>
                <w:sz w:val="20"/>
                <w:szCs w:val="20"/>
              </w:rPr>
              <w:t>78.62%</w:t>
            </w:r>
          </w:p>
        </w:tc>
        <w:tc>
          <w:tcPr>
            <w:tcW w:w="2394" w:type="dxa"/>
          </w:tcPr>
          <w:p w:rsidR="00475BDF" w:rsidRPr="00475BDF" w:rsidRDefault="00475BDF" w:rsidP="00403FC8">
            <w:pPr>
              <w:tabs>
                <w:tab w:val="right" w:leader="dot" w:pos="7920"/>
                <w:tab w:val="right" w:pos="10800"/>
              </w:tabs>
              <w:rPr>
                <w:sz w:val="20"/>
                <w:szCs w:val="20"/>
              </w:rPr>
            </w:pPr>
            <w:r w:rsidRPr="00475BDF">
              <w:rPr>
                <w:sz w:val="20"/>
                <w:szCs w:val="20"/>
              </w:rPr>
              <w:t>4.05%</w:t>
            </w:r>
          </w:p>
          <w:p w:rsidR="00475BDF" w:rsidRPr="00475BDF" w:rsidRDefault="00475BDF" w:rsidP="00403FC8">
            <w:pPr>
              <w:tabs>
                <w:tab w:val="right" w:leader="dot" w:pos="7920"/>
                <w:tab w:val="right" w:pos="10800"/>
              </w:tabs>
              <w:rPr>
                <w:sz w:val="20"/>
                <w:szCs w:val="20"/>
              </w:rPr>
            </w:pPr>
            <w:r w:rsidRPr="00475BDF">
              <w:rPr>
                <w:sz w:val="20"/>
                <w:szCs w:val="20"/>
              </w:rPr>
              <w:t>79.70%</w:t>
            </w:r>
          </w:p>
        </w:tc>
        <w:tc>
          <w:tcPr>
            <w:tcW w:w="2394" w:type="dxa"/>
          </w:tcPr>
          <w:p w:rsidR="00475BDF" w:rsidRPr="00475BDF" w:rsidRDefault="00475BDF" w:rsidP="00403FC8">
            <w:pPr>
              <w:tabs>
                <w:tab w:val="right" w:leader="dot" w:pos="7920"/>
                <w:tab w:val="right" w:pos="10800"/>
              </w:tabs>
              <w:rPr>
                <w:sz w:val="20"/>
                <w:szCs w:val="20"/>
              </w:rPr>
            </w:pPr>
            <w:r w:rsidRPr="00475BDF">
              <w:rPr>
                <w:sz w:val="20"/>
                <w:szCs w:val="20"/>
              </w:rPr>
              <w:t>3.93%</w:t>
            </w:r>
          </w:p>
          <w:p w:rsidR="00475BDF" w:rsidRPr="00475BDF" w:rsidRDefault="00475BDF" w:rsidP="00403FC8">
            <w:pPr>
              <w:tabs>
                <w:tab w:val="right" w:leader="dot" w:pos="7920"/>
                <w:tab w:val="right" w:pos="10800"/>
              </w:tabs>
              <w:rPr>
                <w:sz w:val="20"/>
                <w:szCs w:val="20"/>
              </w:rPr>
            </w:pPr>
            <w:r w:rsidRPr="00475BDF">
              <w:rPr>
                <w:sz w:val="20"/>
                <w:szCs w:val="20"/>
              </w:rPr>
              <w:t>79.60%</w:t>
            </w:r>
          </w:p>
        </w:tc>
      </w:tr>
      <w:tr w:rsidR="00475BDF" w:rsidRPr="00475BDF" w:rsidTr="00403FC8">
        <w:tc>
          <w:tcPr>
            <w:tcW w:w="2394" w:type="dxa"/>
          </w:tcPr>
          <w:p w:rsidR="00475BDF" w:rsidRPr="00475BDF" w:rsidRDefault="00475BDF" w:rsidP="00403FC8">
            <w:pPr>
              <w:tabs>
                <w:tab w:val="right" w:leader="dot" w:pos="7920"/>
                <w:tab w:val="right" w:pos="10800"/>
              </w:tabs>
              <w:rPr>
                <w:sz w:val="20"/>
                <w:szCs w:val="20"/>
              </w:rPr>
            </w:pPr>
            <w:r w:rsidRPr="00475BDF">
              <w:rPr>
                <w:sz w:val="20"/>
                <w:szCs w:val="20"/>
              </w:rPr>
              <w:t>Overhead and Operational</w:t>
            </w:r>
          </w:p>
        </w:tc>
        <w:tc>
          <w:tcPr>
            <w:tcW w:w="2394" w:type="dxa"/>
          </w:tcPr>
          <w:p w:rsidR="00475BDF" w:rsidRPr="00475BDF" w:rsidRDefault="00475BDF" w:rsidP="00403FC8">
            <w:pPr>
              <w:tabs>
                <w:tab w:val="right" w:leader="dot" w:pos="7920"/>
                <w:tab w:val="right" w:pos="10800"/>
              </w:tabs>
              <w:rPr>
                <w:sz w:val="20"/>
                <w:szCs w:val="20"/>
              </w:rPr>
            </w:pPr>
          </w:p>
          <w:p w:rsidR="00475BDF" w:rsidRPr="00475BDF" w:rsidRDefault="00475BDF" w:rsidP="00403FC8">
            <w:pPr>
              <w:tabs>
                <w:tab w:val="right" w:leader="dot" w:pos="7920"/>
                <w:tab w:val="right" w:pos="10800"/>
              </w:tabs>
              <w:rPr>
                <w:sz w:val="20"/>
                <w:szCs w:val="20"/>
              </w:rPr>
            </w:pPr>
            <w:r w:rsidRPr="00475BDF">
              <w:rPr>
                <w:sz w:val="20"/>
                <w:szCs w:val="20"/>
              </w:rPr>
              <w:t>21.38%</w:t>
            </w:r>
          </w:p>
        </w:tc>
        <w:tc>
          <w:tcPr>
            <w:tcW w:w="2394" w:type="dxa"/>
          </w:tcPr>
          <w:p w:rsidR="00475BDF" w:rsidRPr="00475BDF" w:rsidRDefault="00475BDF" w:rsidP="00403FC8">
            <w:pPr>
              <w:tabs>
                <w:tab w:val="right" w:leader="dot" w:pos="7920"/>
                <w:tab w:val="right" w:pos="10800"/>
              </w:tabs>
              <w:rPr>
                <w:sz w:val="20"/>
                <w:szCs w:val="20"/>
              </w:rPr>
            </w:pPr>
          </w:p>
          <w:p w:rsidR="00475BDF" w:rsidRPr="00475BDF" w:rsidRDefault="00475BDF" w:rsidP="00403FC8">
            <w:pPr>
              <w:tabs>
                <w:tab w:val="right" w:leader="dot" w:pos="7920"/>
                <w:tab w:val="right" w:pos="10800"/>
              </w:tabs>
              <w:rPr>
                <w:sz w:val="20"/>
                <w:szCs w:val="20"/>
              </w:rPr>
            </w:pPr>
            <w:r w:rsidRPr="00475BDF">
              <w:rPr>
                <w:sz w:val="20"/>
                <w:szCs w:val="20"/>
              </w:rPr>
              <w:t>20.30%</w:t>
            </w:r>
          </w:p>
        </w:tc>
        <w:tc>
          <w:tcPr>
            <w:tcW w:w="2394" w:type="dxa"/>
          </w:tcPr>
          <w:p w:rsidR="00475BDF" w:rsidRPr="00475BDF" w:rsidRDefault="00475BDF" w:rsidP="00403FC8">
            <w:pPr>
              <w:tabs>
                <w:tab w:val="right" w:leader="dot" w:pos="7920"/>
                <w:tab w:val="right" w:pos="10800"/>
              </w:tabs>
              <w:rPr>
                <w:sz w:val="20"/>
                <w:szCs w:val="20"/>
              </w:rPr>
            </w:pPr>
          </w:p>
          <w:p w:rsidR="00475BDF" w:rsidRPr="00475BDF" w:rsidRDefault="00475BDF" w:rsidP="00403FC8">
            <w:pPr>
              <w:tabs>
                <w:tab w:val="right" w:leader="dot" w:pos="7920"/>
                <w:tab w:val="right" w:pos="10800"/>
              </w:tabs>
              <w:rPr>
                <w:sz w:val="20"/>
                <w:szCs w:val="20"/>
              </w:rPr>
            </w:pPr>
            <w:r w:rsidRPr="00475BDF">
              <w:rPr>
                <w:sz w:val="20"/>
                <w:szCs w:val="20"/>
              </w:rPr>
              <w:t>20.40%</w:t>
            </w:r>
          </w:p>
        </w:tc>
      </w:tr>
      <w:tr w:rsidR="00475BDF" w:rsidRPr="00475BDF" w:rsidTr="00403FC8">
        <w:tc>
          <w:tcPr>
            <w:tcW w:w="2394" w:type="dxa"/>
          </w:tcPr>
          <w:p w:rsidR="00475BDF" w:rsidRPr="00475BDF" w:rsidRDefault="00475BDF" w:rsidP="00403FC8">
            <w:pPr>
              <w:tabs>
                <w:tab w:val="right" w:leader="dot" w:pos="7920"/>
                <w:tab w:val="right" w:pos="10800"/>
              </w:tabs>
              <w:rPr>
                <w:sz w:val="20"/>
                <w:szCs w:val="20"/>
              </w:rPr>
            </w:pPr>
            <w:r w:rsidRPr="00475BDF">
              <w:rPr>
                <w:sz w:val="20"/>
                <w:szCs w:val="20"/>
              </w:rPr>
              <w:t>Non-Operational</w:t>
            </w:r>
          </w:p>
        </w:tc>
        <w:tc>
          <w:tcPr>
            <w:tcW w:w="2394" w:type="dxa"/>
          </w:tcPr>
          <w:p w:rsidR="00475BDF" w:rsidRPr="00475BDF" w:rsidRDefault="00475BDF" w:rsidP="00403FC8">
            <w:pPr>
              <w:tabs>
                <w:tab w:val="right" w:leader="dot" w:pos="7920"/>
                <w:tab w:val="right" w:pos="10800"/>
              </w:tabs>
              <w:rPr>
                <w:sz w:val="20"/>
                <w:szCs w:val="20"/>
              </w:rPr>
            </w:pPr>
            <w:r w:rsidRPr="00475BDF">
              <w:rPr>
                <w:sz w:val="20"/>
                <w:szCs w:val="20"/>
              </w:rPr>
              <w:t>0</w:t>
            </w:r>
          </w:p>
        </w:tc>
        <w:tc>
          <w:tcPr>
            <w:tcW w:w="2394" w:type="dxa"/>
          </w:tcPr>
          <w:p w:rsidR="00475BDF" w:rsidRPr="00475BDF" w:rsidRDefault="00475BDF" w:rsidP="00403FC8">
            <w:pPr>
              <w:tabs>
                <w:tab w:val="right" w:leader="dot" w:pos="7920"/>
                <w:tab w:val="right" w:pos="10800"/>
              </w:tabs>
              <w:rPr>
                <w:sz w:val="20"/>
                <w:szCs w:val="20"/>
              </w:rPr>
            </w:pPr>
            <w:r w:rsidRPr="00475BDF">
              <w:rPr>
                <w:sz w:val="20"/>
                <w:szCs w:val="20"/>
              </w:rPr>
              <w:t>0</w:t>
            </w:r>
          </w:p>
        </w:tc>
        <w:tc>
          <w:tcPr>
            <w:tcW w:w="2394" w:type="dxa"/>
          </w:tcPr>
          <w:p w:rsidR="00475BDF" w:rsidRPr="00475BDF" w:rsidRDefault="00475BDF" w:rsidP="00403FC8">
            <w:pPr>
              <w:tabs>
                <w:tab w:val="right" w:leader="dot" w:pos="7920"/>
                <w:tab w:val="right" w:pos="10800"/>
              </w:tabs>
              <w:rPr>
                <w:sz w:val="20"/>
                <w:szCs w:val="20"/>
              </w:rPr>
            </w:pPr>
            <w:r w:rsidRPr="00475BDF">
              <w:rPr>
                <w:sz w:val="20"/>
                <w:szCs w:val="20"/>
              </w:rPr>
              <w:t>0</w:t>
            </w:r>
          </w:p>
        </w:tc>
      </w:tr>
    </w:tbl>
    <w:p w:rsidR="00475BDF" w:rsidRPr="00475BDF" w:rsidRDefault="00475BDF" w:rsidP="00475BDF">
      <w:pPr>
        <w:tabs>
          <w:tab w:val="right" w:leader="dot" w:pos="7920"/>
          <w:tab w:val="right" w:pos="10800"/>
        </w:tabs>
        <w:rPr>
          <w:sz w:val="20"/>
        </w:rPr>
      </w:pPr>
    </w:p>
    <w:p w:rsidR="00475BDF" w:rsidRPr="00475BDF" w:rsidRDefault="00475BDF" w:rsidP="00475BDF">
      <w:pPr>
        <w:tabs>
          <w:tab w:val="right" w:leader="dot" w:pos="7920"/>
          <w:tab w:val="right" w:pos="10800"/>
        </w:tabs>
        <w:spacing w:line="360" w:lineRule="auto"/>
        <w:rPr>
          <w:sz w:val="20"/>
        </w:rPr>
      </w:pPr>
      <w:r w:rsidRPr="00475BDF">
        <w:rPr>
          <w:sz w:val="20"/>
        </w:rPr>
        <w:t xml:space="preserve">          </w:t>
      </w:r>
    </w:p>
    <w:p w:rsidR="00475BDF" w:rsidRPr="00475BDF" w:rsidRDefault="00475BDF" w:rsidP="00475BDF">
      <w:pPr>
        <w:tabs>
          <w:tab w:val="right" w:leader="dot" w:pos="7920"/>
          <w:tab w:val="right" w:pos="10800"/>
        </w:tabs>
        <w:spacing w:line="360" w:lineRule="auto"/>
        <w:rPr>
          <w:sz w:val="20"/>
        </w:rPr>
      </w:pPr>
      <w:r w:rsidRPr="00475BDF">
        <w:rPr>
          <w:sz w:val="20"/>
        </w:rPr>
        <w:t xml:space="preserve">            About 22 percent of the expected budget will be funded by property taxes – a total of $45,918,574. </w:t>
      </w:r>
    </w:p>
    <w:p w:rsidR="00475BDF" w:rsidRPr="00475BDF" w:rsidRDefault="00475BDF" w:rsidP="00475BDF">
      <w:pPr>
        <w:tabs>
          <w:tab w:val="right" w:leader="dot" w:pos="7920"/>
          <w:tab w:val="right" w:pos="10800"/>
        </w:tabs>
        <w:spacing w:line="360" w:lineRule="auto"/>
        <w:rPr>
          <w:sz w:val="20"/>
        </w:rPr>
      </w:pPr>
      <w:r w:rsidRPr="00475BDF">
        <w:rPr>
          <w:sz w:val="20"/>
        </w:rPr>
        <w:t xml:space="preserve">            Levy sources include: Property Tax, Motor Vehicle Excise Tax, Commercial Vehicle Excise Tax and Financial Institutions Tax. The anticipated tax rate for 2012 is .6697 due to an unanticipated drop in Assessed Valuation over the past several years.  The advertised tax rate for 2012 will be $2.0497, although the EVSC expects the rate to be lower than that amount.</w:t>
      </w:r>
    </w:p>
    <w:p w:rsidR="00475BDF" w:rsidRPr="00475BDF" w:rsidRDefault="00475BDF" w:rsidP="00475BDF">
      <w:pPr>
        <w:tabs>
          <w:tab w:val="right" w:leader="dot" w:pos="7920"/>
          <w:tab w:val="right" w:pos="10800"/>
        </w:tabs>
        <w:spacing w:line="360" w:lineRule="auto"/>
        <w:rPr>
          <w:sz w:val="20"/>
        </w:rPr>
      </w:pPr>
      <w:r w:rsidRPr="00475BDF">
        <w:rPr>
          <w:sz w:val="20"/>
        </w:rPr>
        <w:t xml:space="preserve">          The board approved advertisement of the budget on August 24 and August 30. The next step in the process is for the board to conduct a public hearing on September 12 and vote on the budget at the September 26 meeting.</w:t>
      </w:r>
    </w:p>
    <w:p w:rsidR="00475BDF" w:rsidRPr="00475BDF" w:rsidRDefault="00475BDF" w:rsidP="00475BDF">
      <w:pPr>
        <w:tabs>
          <w:tab w:val="right" w:leader="dot" w:pos="7920"/>
          <w:tab w:val="right" w:pos="10800"/>
        </w:tabs>
        <w:spacing w:line="360" w:lineRule="auto"/>
        <w:rPr>
          <w:sz w:val="20"/>
        </w:rPr>
      </w:pPr>
    </w:p>
    <w:p w:rsidR="00475BDF" w:rsidRPr="00475BDF" w:rsidRDefault="00475BDF" w:rsidP="00475BDF">
      <w:pPr>
        <w:tabs>
          <w:tab w:val="right" w:leader="dot" w:pos="7920"/>
        </w:tabs>
        <w:spacing w:line="360" w:lineRule="auto"/>
        <w:jc w:val="center"/>
        <w:rPr>
          <w:sz w:val="20"/>
        </w:rPr>
      </w:pPr>
      <w:r w:rsidRPr="00475BDF">
        <w:rPr>
          <w:sz w:val="20"/>
        </w:rPr>
        <w:t>-30-</w:t>
      </w:r>
    </w:p>
    <w:p w:rsidR="00B30116" w:rsidRPr="00475BDF" w:rsidRDefault="00B30116" w:rsidP="00475BDF">
      <w:pPr>
        <w:rPr>
          <w:rFonts w:ascii="Arial" w:hAnsi="Arial" w:cs="Arial"/>
          <w:sz w:val="20"/>
        </w:rPr>
      </w:pPr>
    </w:p>
    <w:sectPr w:rsidR="00B30116" w:rsidRPr="00475BDF" w:rsidSect="00475BDF">
      <w:footnotePr>
        <w:numRestart w:val="eachPage"/>
      </w:footnotePr>
      <w:endnotePr>
        <w:numFmt w:val="decimal"/>
        <w:numStart w:val="0"/>
      </w:endnotePr>
      <w:pgSz w:w="12240" w:h="15840"/>
      <w:pgMar w:top="144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727" w:rsidRDefault="00F81727">
      <w:r>
        <w:separator/>
      </w:r>
    </w:p>
  </w:endnote>
  <w:endnote w:type="continuationSeparator" w:id="0">
    <w:p w:rsidR="00F81727" w:rsidRDefault="00F817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727" w:rsidRDefault="00F81727">
      <w:r>
        <w:separator/>
      </w:r>
    </w:p>
  </w:footnote>
  <w:footnote w:type="continuationSeparator" w:id="0">
    <w:p w:rsidR="00F81727" w:rsidRDefault="00F817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94B40"/>
    <w:multiLevelType w:val="hybridMultilevel"/>
    <w:tmpl w:val="54F6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D416C"/>
    <w:multiLevelType w:val="hybridMultilevel"/>
    <w:tmpl w:val="0D86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563A7"/>
    <w:multiLevelType w:val="hybridMultilevel"/>
    <w:tmpl w:val="8C0A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835A85"/>
    <w:multiLevelType w:val="hybridMultilevel"/>
    <w:tmpl w:val="DA2A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9E6F66"/>
    <w:multiLevelType w:val="hybridMultilevel"/>
    <w:tmpl w:val="EF901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C27B15"/>
    <w:multiLevelType w:val="hybridMultilevel"/>
    <w:tmpl w:val="6BBA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8B3D8F"/>
    <w:multiLevelType w:val="hybridMultilevel"/>
    <w:tmpl w:val="D4567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25721B5"/>
    <w:multiLevelType w:val="hybridMultilevel"/>
    <w:tmpl w:val="BEEA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F30492"/>
    <w:multiLevelType w:val="hybridMultilevel"/>
    <w:tmpl w:val="FDA06C8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9">
    <w:nsid w:val="5FE34B00"/>
    <w:multiLevelType w:val="hybridMultilevel"/>
    <w:tmpl w:val="2BD4D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F72E0A"/>
    <w:multiLevelType w:val="hybridMultilevel"/>
    <w:tmpl w:val="FF38A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3AF7EB6"/>
    <w:multiLevelType w:val="hybridMultilevel"/>
    <w:tmpl w:val="9CD89C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758586E"/>
    <w:multiLevelType w:val="hybridMultilevel"/>
    <w:tmpl w:val="524C9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DA63DC0"/>
    <w:multiLevelType w:val="hybridMultilevel"/>
    <w:tmpl w:val="1BA88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12"/>
  </w:num>
  <w:num w:numId="5">
    <w:abstractNumId w:val="11"/>
  </w:num>
  <w:num w:numId="6">
    <w:abstractNumId w:val="6"/>
  </w:num>
  <w:num w:numId="7">
    <w:abstractNumId w:val="13"/>
  </w:num>
  <w:num w:numId="8">
    <w:abstractNumId w:val="2"/>
  </w:num>
  <w:num w:numId="9">
    <w:abstractNumId w:val="9"/>
  </w:num>
  <w:num w:numId="10">
    <w:abstractNumId w:val="10"/>
  </w:num>
  <w:num w:numId="11">
    <w:abstractNumId w:val="1"/>
  </w:num>
  <w:num w:numId="12">
    <w:abstractNumId w:val="3"/>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savePreviewPicture/>
  <w:footnotePr>
    <w:numRestart w:val="eachPage"/>
    <w:footnote w:id="-1"/>
    <w:footnote w:id="0"/>
  </w:footnotePr>
  <w:endnotePr>
    <w:pos w:val="sectEnd"/>
    <w:numFmt w:val="decimal"/>
    <w:numStart w:val="0"/>
    <w:endnote w:id="-1"/>
    <w:endnote w:id="0"/>
  </w:endnotePr>
  <w:compat>
    <w:spaceForUL/>
    <w:balanceSingleByteDoubleByteWidth/>
    <w:doNotLeaveBackslashAlone/>
    <w:ulTrailSpace/>
    <w:doNotExpandShiftReturn/>
    <w:adjustLineHeightInTable/>
  </w:compat>
  <w:rsids>
    <w:rsidRoot w:val="00F81727"/>
    <w:rsid w:val="00004224"/>
    <w:rsid w:val="00016D75"/>
    <w:rsid w:val="00025E09"/>
    <w:rsid w:val="00046A0C"/>
    <w:rsid w:val="00082625"/>
    <w:rsid w:val="000A049F"/>
    <w:rsid w:val="000B4AF0"/>
    <w:rsid w:val="000B7C67"/>
    <w:rsid w:val="000C5915"/>
    <w:rsid w:val="000E6185"/>
    <w:rsid w:val="00106F5E"/>
    <w:rsid w:val="00113597"/>
    <w:rsid w:val="00135B82"/>
    <w:rsid w:val="00140D3F"/>
    <w:rsid w:val="00154DD9"/>
    <w:rsid w:val="001B7A53"/>
    <w:rsid w:val="001F6E15"/>
    <w:rsid w:val="002142CA"/>
    <w:rsid w:val="00216A4C"/>
    <w:rsid w:val="00280E70"/>
    <w:rsid w:val="002B6C7B"/>
    <w:rsid w:val="002E4325"/>
    <w:rsid w:val="003176BA"/>
    <w:rsid w:val="00366BEB"/>
    <w:rsid w:val="00382DDD"/>
    <w:rsid w:val="003B6334"/>
    <w:rsid w:val="003B6E87"/>
    <w:rsid w:val="003C0BB5"/>
    <w:rsid w:val="003C270E"/>
    <w:rsid w:val="003D43EC"/>
    <w:rsid w:val="00411CDC"/>
    <w:rsid w:val="0041465C"/>
    <w:rsid w:val="00415A44"/>
    <w:rsid w:val="004169AE"/>
    <w:rsid w:val="00465071"/>
    <w:rsid w:val="00475BDF"/>
    <w:rsid w:val="004768B4"/>
    <w:rsid w:val="004B73AB"/>
    <w:rsid w:val="004F21CC"/>
    <w:rsid w:val="00501A0D"/>
    <w:rsid w:val="00513FD0"/>
    <w:rsid w:val="005167F1"/>
    <w:rsid w:val="005358CA"/>
    <w:rsid w:val="005439A6"/>
    <w:rsid w:val="00551BF4"/>
    <w:rsid w:val="0056574E"/>
    <w:rsid w:val="00580AFE"/>
    <w:rsid w:val="005C49A9"/>
    <w:rsid w:val="005D3FC1"/>
    <w:rsid w:val="00660D9A"/>
    <w:rsid w:val="006B3FBA"/>
    <w:rsid w:val="006C6FC8"/>
    <w:rsid w:val="006E00BF"/>
    <w:rsid w:val="006E1059"/>
    <w:rsid w:val="006E6F04"/>
    <w:rsid w:val="00707048"/>
    <w:rsid w:val="00712CD8"/>
    <w:rsid w:val="0073370C"/>
    <w:rsid w:val="00750B64"/>
    <w:rsid w:val="007754CE"/>
    <w:rsid w:val="007B182B"/>
    <w:rsid w:val="007D2FDD"/>
    <w:rsid w:val="007E37E0"/>
    <w:rsid w:val="00817C6E"/>
    <w:rsid w:val="00826390"/>
    <w:rsid w:val="00831C89"/>
    <w:rsid w:val="00844F71"/>
    <w:rsid w:val="00867F2D"/>
    <w:rsid w:val="00871E52"/>
    <w:rsid w:val="00872A76"/>
    <w:rsid w:val="00884005"/>
    <w:rsid w:val="00886AA6"/>
    <w:rsid w:val="008A4B5A"/>
    <w:rsid w:val="008B3B63"/>
    <w:rsid w:val="008D0B68"/>
    <w:rsid w:val="008E4419"/>
    <w:rsid w:val="008E7959"/>
    <w:rsid w:val="00900248"/>
    <w:rsid w:val="00942DFD"/>
    <w:rsid w:val="009430CC"/>
    <w:rsid w:val="00961B1D"/>
    <w:rsid w:val="0098069A"/>
    <w:rsid w:val="009B4C7B"/>
    <w:rsid w:val="009B7AC7"/>
    <w:rsid w:val="009D67A0"/>
    <w:rsid w:val="00A02E1A"/>
    <w:rsid w:val="00A03A8F"/>
    <w:rsid w:val="00A17D51"/>
    <w:rsid w:val="00A245A5"/>
    <w:rsid w:val="00A27567"/>
    <w:rsid w:val="00A5321D"/>
    <w:rsid w:val="00A864C6"/>
    <w:rsid w:val="00AB403C"/>
    <w:rsid w:val="00AC24C4"/>
    <w:rsid w:val="00AD1910"/>
    <w:rsid w:val="00B02785"/>
    <w:rsid w:val="00B30116"/>
    <w:rsid w:val="00B33B49"/>
    <w:rsid w:val="00B4004A"/>
    <w:rsid w:val="00B66515"/>
    <w:rsid w:val="00B915C0"/>
    <w:rsid w:val="00BC729B"/>
    <w:rsid w:val="00BD1388"/>
    <w:rsid w:val="00BD1D10"/>
    <w:rsid w:val="00BD7EDA"/>
    <w:rsid w:val="00C22ACE"/>
    <w:rsid w:val="00C341FF"/>
    <w:rsid w:val="00C4094F"/>
    <w:rsid w:val="00C6085F"/>
    <w:rsid w:val="00C6199F"/>
    <w:rsid w:val="00C65446"/>
    <w:rsid w:val="00C75177"/>
    <w:rsid w:val="00C925FA"/>
    <w:rsid w:val="00C9617C"/>
    <w:rsid w:val="00D143B2"/>
    <w:rsid w:val="00D45B80"/>
    <w:rsid w:val="00D46B75"/>
    <w:rsid w:val="00D64D1D"/>
    <w:rsid w:val="00D67292"/>
    <w:rsid w:val="00D719E2"/>
    <w:rsid w:val="00D90666"/>
    <w:rsid w:val="00D911BE"/>
    <w:rsid w:val="00D9328F"/>
    <w:rsid w:val="00DB78A3"/>
    <w:rsid w:val="00DD331F"/>
    <w:rsid w:val="00DD4C3C"/>
    <w:rsid w:val="00DF7FDF"/>
    <w:rsid w:val="00E01750"/>
    <w:rsid w:val="00E04B2B"/>
    <w:rsid w:val="00E13850"/>
    <w:rsid w:val="00E141DF"/>
    <w:rsid w:val="00E232E9"/>
    <w:rsid w:val="00E276EF"/>
    <w:rsid w:val="00E44A67"/>
    <w:rsid w:val="00E45F6C"/>
    <w:rsid w:val="00E51644"/>
    <w:rsid w:val="00E67104"/>
    <w:rsid w:val="00E673F2"/>
    <w:rsid w:val="00E73B77"/>
    <w:rsid w:val="00EA14A0"/>
    <w:rsid w:val="00EB7047"/>
    <w:rsid w:val="00EC4EC8"/>
    <w:rsid w:val="00ED37DD"/>
    <w:rsid w:val="00F006BB"/>
    <w:rsid w:val="00F81727"/>
    <w:rsid w:val="00FC6EE7"/>
    <w:rsid w:val="00FC7374"/>
    <w:rsid w:val="00FF4B1D"/>
    <w:rsid w:val="00FF62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E8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7DD"/>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6E1059"/>
    <w:rPr>
      <w:color w:val="0000FF"/>
      <w:u w:val="single"/>
    </w:rPr>
  </w:style>
  <w:style w:type="paragraph" w:styleId="PlainText">
    <w:name w:val="Plain Text"/>
    <w:basedOn w:val="Normal"/>
    <w:link w:val="PlainTextChar"/>
    <w:uiPriority w:val="99"/>
    <w:semiHidden/>
    <w:unhideWhenUsed/>
    <w:rsid w:val="002E4325"/>
    <w:rPr>
      <w:rFonts w:ascii="Consolas" w:eastAsia="Calibri" w:hAnsi="Consolas"/>
      <w:sz w:val="21"/>
      <w:szCs w:val="21"/>
    </w:rPr>
  </w:style>
  <w:style w:type="character" w:customStyle="1" w:styleId="PlainTextChar">
    <w:name w:val="Plain Text Char"/>
    <w:basedOn w:val="DefaultParagraphFont"/>
    <w:link w:val="PlainText"/>
    <w:uiPriority w:val="99"/>
    <w:semiHidden/>
    <w:rsid w:val="002E4325"/>
    <w:rPr>
      <w:rFonts w:ascii="Consolas" w:eastAsia="Calibri" w:hAnsi="Consolas"/>
      <w:sz w:val="21"/>
      <w:szCs w:val="21"/>
    </w:rPr>
  </w:style>
  <w:style w:type="paragraph" w:styleId="NormalWeb">
    <w:name w:val="Normal (Web)"/>
    <w:basedOn w:val="Normal"/>
    <w:uiPriority w:val="99"/>
    <w:semiHidden/>
    <w:unhideWhenUsed/>
    <w:rsid w:val="00154DD9"/>
    <w:pPr>
      <w:spacing w:before="100" w:beforeAutospacing="1" w:after="100" w:afterAutospacing="1"/>
    </w:pPr>
    <w:rPr>
      <w:rFonts w:eastAsia="Calibri"/>
      <w:szCs w:val="24"/>
    </w:rPr>
  </w:style>
  <w:style w:type="table" w:styleId="TableGrid">
    <w:name w:val="Table Grid"/>
    <w:basedOn w:val="TableNormal"/>
    <w:uiPriority w:val="59"/>
    <w:rsid w:val="00475BD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530764">
      <w:bodyDiv w:val="1"/>
      <w:marLeft w:val="0"/>
      <w:marRight w:val="0"/>
      <w:marTop w:val="0"/>
      <w:marBottom w:val="0"/>
      <w:divBdr>
        <w:top w:val="none" w:sz="0" w:space="0" w:color="auto"/>
        <w:left w:val="none" w:sz="0" w:space="0" w:color="auto"/>
        <w:bottom w:val="none" w:sz="0" w:space="0" w:color="auto"/>
        <w:right w:val="none" w:sz="0" w:space="0" w:color="auto"/>
      </w:divBdr>
    </w:div>
    <w:div w:id="163786513">
      <w:bodyDiv w:val="1"/>
      <w:marLeft w:val="0"/>
      <w:marRight w:val="0"/>
      <w:marTop w:val="0"/>
      <w:marBottom w:val="0"/>
      <w:divBdr>
        <w:top w:val="none" w:sz="0" w:space="0" w:color="auto"/>
        <w:left w:val="none" w:sz="0" w:space="0" w:color="auto"/>
        <w:bottom w:val="none" w:sz="0" w:space="0" w:color="auto"/>
        <w:right w:val="none" w:sz="0" w:space="0" w:color="auto"/>
      </w:divBdr>
    </w:div>
    <w:div w:id="332151145">
      <w:bodyDiv w:val="1"/>
      <w:marLeft w:val="0"/>
      <w:marRight w:val="0"/>
      <w:marTop w:val="0"/>
      <w:marBottom w:val="0"/>
      <w:divBdr>
        <w:top w:val="none" w:sz="0" w:space="0" w:color="auto"/>
        <w:left w:val="none" w:sz="0" w:space="0" w:color="auto"/>
        <w:bottom w:val="none" w:sz="0" w:space="0" w:color="auto"/>
        <w:right w:val="none" w:sz="0" w:space="0" w:color="auto"/>
      </w:divBdr>
    </w:div>
    <w:div w:id="522403148">
      <w:bodyDiv w:val="1"/>
      <w:marLeft w:val="0"/>
      <w:marRight w:val="0"/>
      <w:marTop w:val="0"/>
      <w:marBottom w:val="0"/>
      <w:divBdr>
        <w:top w:val="none" w:sz="0" w:space="0" w:color="auto"/>
        <w:left w:val="none" w:sz="0" w:space="0" w:color="auto"/>
        <w:bottom w:val="none" w:sz="0" w:space="0" w:color="auto"/>
        <w:right w:val="none" w:sz="0" w:space="0" w:color="auto"/>
      </w:divBdr>
    </w:div>
    <w:div w:id="689451031">
      <w:bodyDiv w:val="1"/>
      <w:marLeft w:val="0"/>
      <w:marRight w:val="0"/>
      <w:marTop w:val="0"/>
      <w:marBottom w:val="0"/>
      <w:divBdr>
        <w:top w:val="none" w:sz="0" w:space="0" w:color="auto"/>
        <w:left w:val="none" w:sz="0" w:space="0" w:color="auto"/>
        <w:bottom w:val="none" w:sz="0" w:space="0" w:color="auto"/>
        <w:right w:val="none" w:sz="0" w:space="0" w:color="auto"/>
      </w:divBdr>
    </w:div>
    <w:div w:id="843741578">
      <w:bodyDiv w:val="1"/>
      <w:marLeft w:val="0"/>
      <w:marRight w:val="0"/>
      <w:marTop w:val="0"/>
      <w:marBottom w:val="0"/>
      <w:divBdr>
        <w:top w:val="none" w:sz="0" w:space="0" w:color="auto"/>
        <w:left w:val="none" w:sz="0" w:space="0" w:color="auto"/>
        <w:bottom w:val="none" w:sz="0" w:space="0" w:color="auto"/>
        <w:right w:val="none" w:sz="0" w:space="0" w:color="auto"/>
      </w:divBdr>
    </w:div>
    <w:div w:id="1026829797">
      <w:bodyDiv w:val="1"/>
      <w:marLeft w:val="0"/>
      <w:marRight w:val="0"/>
      <w:marTop w:val="0"/>
      <w:marBottom w:val="0"/>
      <w:divBdr>
        <w:top w:val="none" w:sz="0" w:space="0" w:color="auto"/>
        <w:left w:val="none" w:sz="0" w:space="0" w:color="auto"/>
        <w:bottom w:val="none" w:sz="0" w:space="0" w:color="auto"/>
        <w:right w:val="none" w:sz="0" w:space="0" w:color="auto"/>
      </w:divBdr>
    </w:div>
    <w:div w:id="1107311333">
      <w:bodyDiv w:val="1"/>
      <w:marLeft w:val="0"/>
      <w:marRight w:val="0"/>
      <w:marTop w:val="0"/>
      <w:marBottom w:val="0"/>
      <w:divBdr>
        <w:top w:val="none" w:sz="0" w:space="0" w:color="auto"/>
        <w:left w:val="none" w:sz="0" w:space="0" w:color="auto"/>
        <w:bottom w:val="none" w:sz="0" w:space="0" w:color="auto"/>
        <w:right w:val="none" w:sz="0" w:space="0" w:color="auto"/>
      </w:divBdr>
    </w:div>
    <w:div w:id="1419523109">
      <w:bodyDiv w:val="1"/>
      <w:marLeft w:val="0"/>
      <w:marRight w:val="0"/>
      <w:marTop w:val="0"/>
      <w:marBottom w:val="0"/>
      <w:divBdr>
        <w:top w:val="none" w:sz="0" w:space="0" w:color="auto"/>
        <w:left w:val="none" w:sz="0" w:space="0" w:color="auto"/>
        <w:bottom w:val="none" w:sz="0" w:space="0" w:color="auto"/>
        <w:right w:val="none" w:sz="0" w:space="0" w:color="auto"/>
      </w:divBdr>
    </w:div>
    <w:div w:id="1602252814">
      <w:bodyDiv w:val="1"/>
      <w:marLeft w:val="0"/>
      <w:marRight w:val="0"/>
      <w:marTop w:val="0"/>
      <w:marBottom w:val="0"/>
      <w:divBdr>
        <w:top w:val="none" w:sz="0" w:space="0" w:color="auto"/>
        <w:left w:val="none" w:sz="0" w:space="0" w:color="auto"/>
        <w:bottom w:val="none" w:sz="0" w:space="0" w:color="auto"/>
        <w:right w:val="none" w:sz="0" w:space="0" w:color="auto"/>
      </w:divBdr>
    </w:div>
    <w:div w:id="1617060557">
      <w:bodyDiv w:val="1"/>
      <w:marLeft w:val="0"/>
      <w:marRight w:val="0"/>
      <w:marTop w:val="0"/>
      <w:marBottom w:val="0"/>
      <w:divBdr>
        <w:top w:val="none" w:sz="0" w:space="0" w:color="auto"/>
        <w:left w:val="none" w:sz="0" w:space="0" w:color="auto"/>
        <w:bottom w:val="none" w:sz="0" w:space="0" w:color="auto"/>
        <w:right w:val="none" w:sz="0" w:space="0" w:color="auto"/>
      </w:divBdr>
    </w:div>
    <w:div w:id="2023047793">
      <w:bodyDiv w:val="1"/>
      <w:marLeft w:val="0"/>
      <w:marRight w:val="0"/>
      <w:marTop w:val="0"/>
      <w:marBottom w:val="0"/>
      <w:divBdr>
        <w:top w:val="none" w:sz="0" w:space="0" w:color="auto"/>
        <w:left w:val="none" w:sz="0" w:space="0" w:color="auto"/>
        <w:bottom w:val="none" w:sz="0" w:space="0" w:color="auto"/>
        <w:right w:val="none" w:sz="0" w:space="0" w:color="auto"/>
      </w:divBdr>
    </w:div>
    <w:div w:id="202336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ra.dewitt@evsc.k12.in.us" TargetMode="External"/><Relationship Id="rId4" Type="http://schemas.openxmlformats.org/officeDocument/2006/relationships/settings" Target="settings.xml"/><Relationship Id="rId9" Type="http://schemas.openxmlformats.org/officeDocument/2006/relationships/hyperlink" Target="mailto:marsha.jackson@evsc.k12.in.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sha.jackson\Desktop\Desktop\New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0C475-0D6E-4556-B78E-2BA3110D6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Template</Template>
  <TotalTime>4</TotalTime>
  <Pages>1</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3721</CharactersWithSpaces>
  <SharedDoc>false</SharedDoc>
  <HLinks>
    <vt:vector size="12" baseType="variant">
      <vt:variant>
        <vt:i4>589926</vt:i4>
      </vt:variant>
      <vt:variant>
        <vt:i4>3</vt:i4>
      </vt:variant>
      <vt:variant>
        <vt:i4>0</vt:i4>
      </vt:variant>
      <vt:variant>
        <vt:i4>5</vt:i4>
      </vt:variant>
      <vt:variant>
        <vt:lpwstr>mailto:sara.dewitt@evsc.k12.in.us</vt:lpwstr>
      </vt:variant>
      <vt:variant>
        <vt:lpwstr/>
      </vt:variant>
      <vt:variant>
        <vt:i4>6684689</vt:i4>
      </vt:variant>
      <vt:variant>
        <vt:i4>0</vt:i4>
      </vt:variant>
      <vt:variant>
        <vt:i4>0</vt:i4>
      </vt:variant>
      <vt:variant>
        <vt:i4>5</vt:i4>
      </vt:variant>
      <vt:variant>
        <vt:lpwstr>mailto:marsha.jackson@evsc.k12.in.us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Jackson</dc:creator>
  <cp:lastModifiedBy>Marsha Jackson</cp:lastModifiedBy>
  <cp:revision>1</cp:revision>
  <cp:lastPrinted>2010-09-28T17:34:00Z</cp:lastPrinted>
  <dcterms:created xsi:type="dcterms:W3CDTF">2011-08-23T00:13:00Z</dcterms:created>
  <dcterms:modified xsi:type="dcterms:W3CDTF">2011-08-23T00:17:00Z</dcterms:modified>
</cp:coreProperties>
</file>